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api-design-rest-graphql-and-grpc"/>
    <w:p>
      <w:pPr>
        <w:pStyle w:val="Heading1"/>
      </w:pPr>
      <w:r>
        <w:t xml:space="preserve">API Design: REST, GraphQL, and gRPC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Software development experience (any language)</w:t>
      </w:r>
    </w:p>
    <w:p>
      <w:pPr>
        <w:numPr>
          <w:ilvl w:val="0"/>
          <w:numId w:val="1001"/>
        </w:numPr>
        <w:pStyle w:val="Compact"/>
      </w:pPr>
      <w:r>
        <w:t xml:space="preserve">Experience consuming HTTP APIs from code</w:t>
      </w:r>
    </w:p>
    <w:p>
      <w:pPr>
        <w:numPr>
          <w:ilvl w:val="0"/>
          <w:numId w:val="1001"/>
        </w:numPr>
        <w:pStyle w:val="Compact"/>
      </w:pPr>
      <w:r>
        <w:t xml:space="preserve">Basic familiarity with JSON</w:t>
      </w:r>
    </w:p>
    <w:p>
      <w:pPr>
        <w:numPr>
          <w:ilvl w:val="0"/>
          <w:numId w:val="1001"/>
        </w:numPr>
        <w:pStyle w:val="Compact"/>
      </w:pPr>
      <w:r>
        <w:t xml:space="preserve">Some experience building a web service endpoint is helpful</w:t>
      </w:r>
    </w:p>
    <w:p>
      <w:pPr>
        <w:numPr>
          <w:ilvl w:val="0"/>
          <w:numId w:val="1001"/>
        </w:numPr>
        <w:pStyle w:val="Compact"/>
      </w:pPr>
      <w:r>
        <w:t xml:space="preserve">No prior OpenAPI, GraphQL, or gRPC experience required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This course is designed for backend and full-stack developers who build APIs that other people — and increasingly other machines and AI agents — depend on. It suits developers who have shipped endpoints but never been taught API design as a discipline, tech leads establishing API standards across teams, and architects choosing between REST, GraphQL, and gRPC for new systems. The course is language-agnostic: examples use HTTP, JSON, and schema languages rather than any single framework.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An API is a promise, and most APIs are promises made carelessly. This course teaches API design as a deliberate discipline, starting where good HTTP APIs start: resource modeling, the Richardson maturity model, and the actual semantics of HTTP methods, status codes, caching, and content negotiation. From there it works through the patterns every production API needs — pagination, filtering, and sorting; versioning strategies and their costs; and error design done properly with RFC 9457 Problem Details, the standard that obsoleted RFC 7807. Participants adopt a contract-first workflow, authoring OpenAPI 3.1 documents (with a look at what OpenAPI 3.2 adds) that drive mock servers, validation, and generated clients.</w:t>
      </w:r>
    </w:p>
    <w:p>
      <w:pPr>
        <w:pStyle w:val="BodyText"/>
      </w:pPr>
      <w:r>
        <w:t xml:space="preserve">Day two broadens the picture. Participants design authentication and authorization with OAuth 2.0, OpenID Connect, and API keys; apply rate limiting; and design webhooks and asynchronous APIs documented with AsyncAPI. The course then gives GraphQL and gRPC honest, non-evangelical treatment: schema design and the situations where GraphQL genuinely wins, and protobuf-based gRPC for service-to-service communication. It closes with the organizational layer — governance, style guides, and breaking-change management — and a forward-looking module on designing APIs for AI consumption, including the Model Context Protocol (MCP) and what makes an API legible to an LLM-driven agent.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Model resources and relationships for an HTTP API and evaluate designs against the REST maturity model</w:t>
      </w:r>
    </w:p>
    <w:p>
      <w:pPr>
        <w:numPr>
          <w:ilvl w:val="0"/>
          <w:numId w:val="1002"/>
        </w:numPr>
        <w:pStyle w:val="Compact"/>
      </w:pPr>
      <w:r>
        <w:t xml:space="preserve">Apply HTTP semantics correctly: methods, status codes, idempotency, caching headers, and content negotiation</w:t>
      </w:r>
    </w:p>
    <w:p>
      <w:pPr>
        <w:numPr>
          <w:ilvl w:val="0"/>
          <w:numId w:val="1002"/>
        </w:numPr>
        <w:pStyle w:val="Compact"/>
      </w:pPr>
      <w:r>
        <w:t xml:space="preserve">Design pagination (offset and cursor), filtering, and sorting that hold up under real data volumes</w:t>
      </w:r>
    </w:p>
    <w:p>
      <w:pPr>
        <w:numPr>
          <w:ilvl w:val="0"/>
          <w:numId w:val="1002"/>
        </w:numPr>
        <w:pStyle w:val="Compact"/>
      </w:pPr>
      <w:r>
        <w:t xml:space="preserve">Compare versioning strategies — URI, header, and evolution without versioning — and choose deliberately</w:t>
      </w:r>
    </w:p>
    <w:p>
      <w:pPr>
        <w:numPr>
          <w:ilvl w:val="0"/>
          <w:numId w:val="1002"/>
        </w:numPr>
        <w:pStyle w:val="Compact"/>
      </w:pPr>
      <w:r>
        <w:t xml:space="preserve">Design consistent, machine-readable errors using RFC 9457 Problem Details</w:t>
      </w:r>
    </w:p>
    <w:p>
      <w:pPr>
        <w:numPr>
          <w:ilvl w:val="0"/>
          <w:numId w:val="1002"/>
        </w:numPr>
        <w:pStyle w:val="Compact"/>
      </w:pPr>
      <w:r>
        <w:t xml:space="preserve">Author OpenAPI 3.1 contracts and run a contract-first workflow with mocking, linting, and code generation</w:t>
      </w:r>
    </w:p>
    <w:p>
      <w:pPr>
        <w:numPr>
          <w:ilvl w:val="0"/>
          <w:numId w:val="1002"/>
        </w:numPr>
        <w:pStyle w:val="Compact"/>
      </w:pPr>
      <w:r>
        <w:t xml:space="preserve">Select and implement auth patterns: OAuth 2.0 flows, OpenID Connect, and API keys, each in its proper place</w:t>
      </w:r>
    </w:p>
    <w:p>
      <w:pPr>
        <w:numPr>
          <w:ilvl w:val="0"/>
          <w:numId w:val="1002"/>
        </w:numPr>
        <w:pStyle w:val="Compact"/>
      </w:pPr>
      <w:r>
        <w:t xml:space="preserve">Apply rate limiting and quota patterns and communicate limits to clients</w:t>
      </w:r>
    </w:p>
    <w:p>
      <w:pPr>
        <w:numPr>
          <w:ilvl w:val="0"/>
          <w:numId w:val="1002"/>
        </w:numPr>
        <w:pStyle w:val="Compact"/>
      </w:pPr>
      <w:r>
        <w:t xml:space="preserve">Design reliable webhooks and asynchronous APIs, documented with AsyncAPI</w:t>
      </w:r>
    </w:p>
    <w:p>
      <w:pPr>
        <w:numPr>
          <w:ilvl w:val="0"/>
          <w:numId w:val="1002"/>
        </w:numPr>
        <w:pStyle w:val="Compact"/>
      </w:pPr>
      <w:r>
        <w:t xml:space="preserve">Design a GraphQL schema and articulate when GraphQL is the right choice — and when it is not</w:t>
      </w:r>
    </w:p>
    <w:p>
      <w:pPr>
        <w:numPr>
          <w:ilvl w:val="0"/>
          <w:numId w:val="1002"/>
        </w:numPr>
        <w:pStyle w:val="Compact"/>
      </w:pPr>
      <w:r>
        <w:t xml:space="preserve">Define gRPC services with protobuf and manage schema evolution for service-to-service APIs</w:t>
      </w:r>
    </w:p>
    <w:p>
      <w:pPr>
        <w:numPr>
          <w:ilvl w:val="0"/>
          <w:numId w:val="1002"/>
        </w:numPr>
        <w:pStyle w:val="Compact"/>
      </w:pPr>
      <w:r>
        <w:t xml:space="preserve">Establish API governance: style guides, review processes, deprecation policy, and breaking-change management</w:t>
      </w:r>
    </w:p>
    <w:p>
      <w:pPr>
        <w:numPr>
          <w:ilvl w:val="0"/>
          <w:numId w:val="1002"/>
        </w:numPr>
        <w:pStyle w:val="Compact"/>
      </w:pPr>
      <w:r>
        <w:t xml:space="preserve">Design APIs that AI agents can consume effectively, including exposing capabilities via MCP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numPr>
          <w:ilvl w:val="0"/>
          <w:numId w:val="1003"/>
        </w:numPr>
        <w:pStyle w:val="Compact"/>
      </w:pPr>
      <w:r>
        <w:t xml:space="preserve">Text editor or IDE with OpenAPI support (VS Code recommended)</w:t>
      </w:r>
    </w:p>
    <w:p>
      <w:pPr>
        <w:numPr>
          <w:ilvl w:val="0"/>
          <w:numId w:val="1003"/>
        </w:numPr>
        <w:pStyle w:val="Compact"/>
      </w:pPr>
      <w:r>
        <w:t xml:space="preserve">Node.js LTS or Python 3.12+ for tooling</w:t>
      </w:r>
    </w:p>
    <w:p>
      <w:pPr>
        <w:numPr>
          <w:ilvl w:val="0"/>
          <w:numId w:val="1003"/>
        </w:numPr>
        <w:pStyle w:val="Compact"/>
      </w:pPr>
      <w:r>
        <w:t xml:space="preserve">An HTTP client: curl, HTTPie, Bruno, or Postman</w:t>
      </w:r>
    </w:p>
    <w:p>
      <w:pPr>
        <w:numPr>
          <w:ilvl w:val="0"/>
          <w:numId w:val="1003"/>
        </w:numPr>
        <w:pStyle w:val="Compact"/>
      </w:pPr>
      <w:r>
        <w:t xml:space="preserve">Spectral or similar OpenAPI linter</w:t>
      </w:r>
    </w:p>
    <w:p>
      <w:pPr>
        <w:numPr>
          <w:ilvl w:val="0"/>
          <w:numId w:val="1003"/>
        </w:numPr>
        <w:pStyle w:val="Compact"/>
      </w:pPr>
      <w:r>
        <w:t xml:space="preserve">Docker or Podman for running mock servers (optional)</w:t>
      </w:r>
    </w:p>
    <w:p>
      <w:pPr>
        <w:numPr>
          <w:ilvl w:val="0"/>
          <w:numId w:val="1003"/>
        </w:numPr>
        <w:pStyle w:val="Compact"/>
      </w:pPr>
      <w:r>
        <w:t xml:space="preserve">Modern web browser</w:t>
      </w:r>
    </w:p>
    <w:bookmarkEnd w:id="26"/>
    <w:bookmarkStart w:id="39" w:name="training-topics"/>
    <w:p>
      <w:pPr>
        <w:pStyle w:val="Heading2"/>
      </w:pPr>
      <w:r>
        <w:t xml:space="preserve">Training Topics</w:t>
      </w:r>
    </w:p>
    <w:bookmarkStart w:id="27" w:name="foundations-of-api-design"/>
    <w:p>
      <w:pPr>
        <w:pStyle w:val="Heading5"/>
      </w:pPr>
      <w:r>
        <w:t xml:space="preserve">Foundations of API Design</w:t>
      </w:r>
    </w:p>
    <w:p>
      <w:pPr>
        <w:numPr>
          <w:ilvl w:val="0"/>
          <w:numId w:val="1004"/>
        </w:numPr>
        <w:pStyle w:val="Compact"/>
      </w:pPr>
      <w:r>
        <w:t xml:space="preserve">APIs as contracts and products</w:t>
      </w:r>
    </w:p>
    <w:p>
      <w:pPr>
        <w:numPr>
          <w:ilvl w:val="0"/>
          <w:numId w:val="1004"/>
        </w:numPr>
        <w:pStyle w:val="Compact"/>
      </w:pPr>
      <w:r>
        <w:t xml:space="preserve">Resource modeling: nouns, relationships, granularity</w:t>
      </w:r>
    </w:p>
    <w:p>
      <w:pPr>
        <w:numPr>
          <w:ilvl w:val="0"/>
          <w:numId w:val="1004"/>
        </w:numPr>
        <w:pStyle w:val="Compact"/>
      </w:pPr>
      <w:r>
        <w:t xml:space="preserve">The Richardson maturity model in practice</w:t>
      </w:r>
    </w:p>
    <w:p>
      <w:pPr>
        <w:numPr>
          <w:ilvl w:val="0"/>
          <w:numId w:val="1004"/>
        </w:numPr>
        <w:pStyle w:val="Compact"/>
      </w:pPr>
      <w:r>
        <w:t xml:space="preserve">Consistency, predictability, and the principle of least surprise</w:t>
      </w:r>
    </w:p>
    <w:bookmarkEnd w:id="27"/>
    <w:bookmarkStart w:id="28" w:name="http-semantics"/>
    <w:p>
      <w:pPr>
        <w:pStyle w:val="Heading5"/>
      </w:pPr>
      <w:r>
        <w:t xml:space="preserve">HTTP Semantics</w:t>
      </w:r>
    </w:p>
    <w:p>
      <w:pPr>
        <w:numPr>
          <w:ilvl w:val="0"/>
          <w:numId w:val="1005"/>
        </w:numPr>
        <w:pStyle w:val="Compact"/>
      </w:pPr>
      <w:r>
        <w:t xml:space="preserve">Methods, safety, and idempotency</w:t>
      </w:r>
    </w:p>
    <w:p>
      <w:pPr>
        <w:numPr>
          <w:ilvl w:val="0"/>
          <w:numId w:val="1005"/>
        </w:numPr>
        <w:pStyle w:val="Compact"/>
      </w:pPr>
      <w:r>
        <w:t xml:space="preserve">Status codes that mean what they say</w:t>
      </w:r>
    </w:p>
    <w:p>
      <w:pPr>
        <w:numPr>
          <w:ilvl w:val="0"/>
          <w:numId w:val="1005"/>
        </w:numPr>
        <w:pStyle w:val="Compact"/>
      </w:pPr>
      <w:r>
        <w:t xml:space="preserve">Headers, caching, ETags, and conditional requests</w:t>
      </w:r>
    </w:p>
    <w:p>
      <w:pPr>
        <w:numPr>
          <w:ilvl w:val="0"/>
          <w:numId w:val="1005"/>
        </w:numPr>
        <w:pStyle w:val="Compact"/>
      </w:pPr>
      <w:r>
        <w:t xml:space="preserve">Content negotiation and media types</w:t>
      </w:r>
    </w:p>
    <w:bookmarkEnd w:id="28"/>
    <w:bookmarkStart w:id="29" w:name="collection-patterns"/>
    <w:p>
      <w:pPr>
        <w:pStyle w:val="Heading5"/>
      </w:pPr>
      <w:r>
        <w:t xml:space="preserve">Collection Patterns</w:t>
      </w:r>
    </w:p>
    <w:p>
      <w:pPr>
        <w:numPr>
          <w:ilvl w:val="0"/>
          <w:numId w:val="1006"/>
        </w:numPr>
        <w:pStyle w:val="Compact"/>
      </w:pPr>
      <w:r>
        <w:t xml:space="preserve">Offset versus cursor pagination and their tradeoffs</w:t>
      </w:r>
    </w:p>
    <w:p>
      <w:pPr>
        <w:numPr>
          <w:ilvl w:val="0"/>
          <w:numId w:val="1006"/>
        </w:numPr>
        <w:pStyle w:val="Compact"/>
      </w:pPr>
      <w:r>
        <w:t xml:space="preserve">Filtering and query parameter design</w:t>
      </w:r>
    </w:p>
    <w:p>
      <w:pPr>
        <w:numPr>
          <w:ilvl w:val="0"/>
          <w:numId w:val="1006"/>
        </w:numPr>
        <w:pStyle w:val="Compact"/>
      </w:pPr>
      <w:r>
        <w:t xml:space="preserve">Sorting, sparse fieldsets, and partial responses</w:t>
      </w:r>
    </w:p>
    <w:p>
      <w:pPr>
        <w:numPr>
          <w:ilvl w:val="0"/>
          <w:numId w:val="1006"/>
        </w:numPr>
        <w:pStyle w:val="Compact"/>
      </w:pPr>
      <w:r>
        <w:t xml:space="preserve">Bulk and batch operation patterns</w:t>
      </w:r>
    </w:p>
    <w:bookmarkEnd w:id="29"/>
    <w:bookmarkStart w:id="30" w:name="versioning-strategies"/>
    <w:p>
      <w:pPr>
        <w:pStyle w:val="Heading5"/>
      </w:pPr>
      <w:r>
        <w:t xml:space="preserve">Versioning Strategies</w:t>
      </w:r>
    </w:p>
    <w:p>
      <w:pPr>
        <w:numPr>
          <w:ilvl w:val="0"/>
          <w:numId w:val="1007"/>
        </w:numPr>
        <w:pStyle w:val="Compact"/>
      </w:pPr>
      <w:r>
        <w:t xml:space="preserve">URI versioning, header versioning, and media-type versioning</w:t>
      </w:r>
    </w:p>
    <w:p>
      <w:pPr>
        <w:numPr>
          <w:ilvl w:val="0"/>
          <w:numId w:val="1007"/>
        </w:numPr>
        <w:pStyle w:val="Compact"/>
      </w:pPr>
      <w:r>
        <w:t xml:space="preserve">Designing for evolution: additive change and tolerant readers</w:t>
      </w:r>
    </w:p>
    <w:p>
      <w:pPr>
        <w:numPr>
          <w:ilvl w:val="0"/>
          <w:numId w:val="1007"/>
        </w:numPr>
        <w:pStyle w:val="Compact"/>
      </w:pPr>
      <w:r>
        <w:t xml:space="preserve">Deprecation signaling and sunset timelines</w:t>
      </w:r>
    </w:p>
    <w:p>
      <w:pPr>
        <w:numPr>
          <w:ilvl w:val="0"/>
          <w:numId w:val="1007"/>
        </w:numPr>
        <w:pStyle w:val="Compact"/>
      </w:pPr>
      <w:r>
        <w:t xml:space="preserve">What actually counts as a breaking change</w:t>
      </w:r>
    </w:p>
    <w:bookmarkEnd w:id="30"/>
    <w:bookmarkStart w:id="31" w:name="error-design"/>
    <w:p>
      <w:pPr>
        <w:pStyle w:val="Heading5"/>
      </w:pPr>
      <w:r>
        <w:t xml:space="preserve">Error Design</w:t>
      </w:r>
    </w:p>
    <w:p>
      <w:pPr>
        <w:numPr>
          <w:ilvl w:val="0"/>
          <w:numId w:val="1008"/>
        </w:numPr>
        <w:pStyle w:val="Compact"/>
      </w:pPr>
      <w:r>
        <w:t xml:space="preserve">RFC 9457 Problem Details (successor to RFC 7807)</w:t>
      </w:r>
    </w:p>
    <w:p>
      <w:pPr>
        <w:numPr>
          <w:ilvl w:val="0"/>
          <w:numId w:val="1008"/>
        </w:numPr>
        <w:pStyle w:val="Compact"/>
      </w:pPr>
      <w:r>
        <w:t xml:space="preserve">Problem types, extension members, and error catalogs</w:t>
      </w:r>
    </w:p>
    <w:p>
      <w:pPr>
        <w:numPr>
          <w:ilvl w:val="0"/>
          <w:numId w:val="1008"/>
        </w:numPr>
        <w:pStyle w:val="Compact"/>
      </w:pPr>
      <w:r>
        <w:t xml:space="preserve">Validation errors and reporting multiple problems</w:t>
      </w:r>
    </w:p>
    <w:p>
      <w:pPr>
        <w:numPr>
          <w:ilvl w:val="0"/>
          <w:numId w:val="1008"/>
        </w:numPr>
        <w:pStyle w:val="Compact"/>
      </w:pPr>
      <w:r>
        <w:t xml:space="preserve">Errors that help client developers instead of frustrating them</w:t>
      </w:r>
    </w:p>
    <w:bookmarkEnd w:id="31"/>
    <w:bookmarkStart w:id="32" w:name="contracts-and-contract-first-workflows"/>
    <w:p>
      <w:pPr>
        <w:pStyle w:val="Heading5"/>
      </w:pPr>
      <w:r>
        <w:t xml:space="preserve">Contracts and Contract-First Workflows</w:t>
      </w:r>
    </w:p>
    <w:p>
      <w:pPr>
        <w:numPr>
          <w:ilvl w:val="0"/>
          <w:numId w:val="1009"/>
        </w:numPr>
        <w:pStyle w:val="Compact"/>
      </w:pPr>
      <w:r>
        <w:t xml:space="preserve">OpenAPI 3.1: structure, JSON Schema alignment, components</w:t>
      </w:r>
    </w:p>
    <w:p>
      <w:pPr>
        <w:numPr>
          <w:ilvl w:val="0"/>
          <w:numId w:val="1009"/>
        </w:numPr>
        <w:pStyle w:val="Compact"/>
      </w:pPr>
      <w:r>
        <w:t xml:space="preserve">What OpenAPI 3.2 adds and migration considerations</w:t>
      </w:r>
    </w:p>
    <w:p>
      <w:pPr>
        <w:numPr>
          <w:ilvl w:val="0"/>
          <w:numId w:val="1009"/>
        </w:numPr>
        <w:pStyle w:val="Compact"/>
      </w:pPr>
      <w:r>
        <w:t xml:space="preserve">Design-first versus code-first, honestly compared</w:t>
      </w:r>
    </w:p>
    <w:p>
      <w:pPr>
        <w:numPr>
          <w:ilvl w:val="0"/>
          <w:numId w:val="1009"/>
        </w:numPr>
        <w:pStyle w:val="Compact"/>
      </w:pPr>
      <w:r>
        <w:t xml:space="preserve">Linting with style rules, mock servers, generated clients</w:t>
      </w:r>
    </w:p>
    <w:p>
      <w:pPr>
        <w:numPr>
          <w:ilvl w:val="0"/>
          <w:numId w:val="1009"/>
        </w:numPr>
        <w:pStyle w:val="Compact"/>
      </w:pPr>
      <w:r>
        <w:t xml:space="preserve">Contract testing and keeping the spec true</w:t>
      </w:r>
    </w:p>
    <w:bookmarkEnd w:id="32"/>
    <w:bookmarkStart w:id="33" w:name="authentication-and-authorization"/>
    <w:p>
      <w:pPr>
        <w:pStyle w:val="Heading5"/>
      </w:pPr>
      <w:r>
        <w:t xml:space="preserve">Authentication and Authorization</w:t>
      </w:r>
    </w:p>
    <w:p>
      <w:pPr>
        <w:numPr>
          <w:ilvl w:val="0"/>
          <w:numId w:val="1010"/>
        </w:numPr>
        <w:pStyle w:val="Compact"/>
      </w:pPr>
      <w:r>
        <w:t xml:space="preserve">OAuth 2.0 flows: which one for which client</w:t>
      </w:r>
    </w:p>
    <w:p>
      <w:pPr>
        <w:numPr>
          <w:ilvl w:val="0"/>
          <w:numId w:val="1010"/>
        </w:numPr>
        <w:pStyle w:val="Compact"/>
      </w:pPr>
      <w:r>
        <w:t xml:space="preserve">OpenID Connect for identity</w:t>
      </w:r>
    </w:p>
    <w:p>
      <w:pPr>
        <w:numPr>
          <w:ilvl w:val="0"/>
          <w:numId w:val="1010"/>
        </w:numPr>
        <w:pStyle w:val="Compact"/>
      </w:pPr>
      <w:r>
        <w:t xml:space="preserve">API keys: where they are appropriate and how to handle them</w:t>
      </w:r>
    </w:p>
    <w:p>
      <w:pPr>
        <w:numPr>
          <w:ilvl w:val="0"/>
          <w:numId w:val="1010"/>
        </w:numPr>
        <w:pStyle w:val="Compact"/>
      </w:pPr>
      <w:r>
        <w:t xml:space="preserve">Scopes, audiences, and token validation</w:t>
      </w:r>
    </w:p>
    <w:p>
      <w:pPr>
        <w:numPr>
          <w:ilvl w:val="0"/>
          <w:numId w:val="1010"/>
        </w:numPr>
        <w:pStyle w:val="Compact"/>
      </w:pPr>
      <w:r>
        <w:t xml:space="preserve">Common auth design mistakes</w:t>
      </w:r>
    </w:p>
    <w:bookmarkEnd w:id="33"/>
    <w:bookmarkStart w:id="34" w:name="rate-limiting-and-operational-concerns"/>
    <w:p>
      <w:pPr>
        <w:pStyle w:val="Heading5"/>
      </w:pPr>
      <w:r>
        <w:t xml:space="preserve">Rate Limiting and Operational Concerns</w:t>
      </w:r>
    </w:p>
    <w:p>
      <w:pPr>
        <w:numPr>
          <w:ilvl w:val="0"/>
          <w:numId w:val="1011"/>
        </w:numPr>
        <w:pStyle w:val="Compact"/>
      </w:pPr>
      <w:r>
        <w:t xml:space="preserve">Rate limiting algorithms and quota design</w:t>
      </w:r>
    </w:p>
    <w:p>
      <w:pPr>
        <w:numPr>
          <w:ilvl w:val="0"/>
          <w:numId w:val="1011"/>
        </w:numPr>
        <w:pStyle w:val="Compact"/>
      </w:pPr>
      <w:r>
        <w:t xml:space="preserve">Communicating limits: headers and retry guidance</w:t>
      </w:r>
    </w:p>
    <w:p>
      <w:pPr>
        <w:numPr>
          <w:ilvl w:val="0"/>
          <w:numId w:val="1011"/>
        </w:numPr>
        <w:pStyle w:val="Compact"/>
      </w:pPr>
      <w:r>
        <w:t xml:space="preserve">Timeouts, retries, and idempotency keys</w:t>
      </w:r>
    </w:p>
    <w:bookmarkEnd w:id="34"/>
    <w:bookmarkStart w:id="35" w:name="webhooks-and-async-apis"/>
    <w:p>
      <w:pPr>
        <w:pStyle w:val="Heading5"/>
      </w:pPr>
      <w:r>
        <w:t xml:space="preserve">Webhooks and Async APIs</w:t>
      </w:r>
    </w:p>
    <w:p>
      <w:pPr>
        <w:numPr>
          <w:ilvl w:val="0"/>
          <w:numId w:val="1012"/>
        </w:numPr>
        <w:pStyle w:val="Compact"/>
      </w:pPr>
      <w:r>
        <w:t xml:space="preserve">Webhook design: delivery, signing, retries, ordering</w:t>
      </w:r>
    </w:p>
    <w:p>
      <w:pPr>
        <w:numPr>
          <w:ilvl w:val="0"/>
          <w:numId w:val="1012"/>
        </w:numPr>
        <w:pStyle w:val="Compact"/>
      </w:pPr>
      <w:r>
        <w:t xml:space="preserve">Polling, long-polling, SSE, and WebSockets compared</w:t>
      </w:r>
    </w:p>
    <w:p>
      <w:pPr>
        <w:numPr>
          <w:ilvl w:val="0"/>
          <w:numId w:val="1012"/>
        </w:numPr>
        <w:pStyle w:val="Compact"/>
      </w:pPr>
      <w:r>
        <w:t xml:space="preserve">Event-driven API documentation with AsyncAPI</w:t>
      </w:r>
    </w:p>
    <w:p>
      <w:pPr>
        <w:numPr>
          <w:ilvl w:val="0"/>
          <w:numId w:val="1012"/>
        </w:numPr>
        <w:pStyle w:val="Compact"/>
      </w:pPr>
      <w:r>
        <w:t xml:space="preserve">Designing events: payloads, envelopes, and versioning</w:t>
      </w:r>
    </w:p>
    <w:bookmarkEnd w:id="35"/>
    <w:bookmarkStart w:id="36" w:name="graphql"/>
    <w:p>
      <w:pPr>
        <w:pStyle w:val="Heading5"/>
      </w:pPr>
      <w:r>
        <w:t xml:space="preserve">GraphQL</w:t>
      </w:r>
    </w:p>
    <w:p>
      <w:pPr>
        <w:numPr>
          <w:ilvl w:val="0"/>
          <w:numId w:val="1013"/>
        </w:numPr>
        <w:pStyle w:val="Compact"/>
      </w:pPr>
      <w:r>
        <w:t xml:space="preserve">Schema design: types, queries, mutations, connections</w:t>
      </w:r>
    </w:p>
    <w:p>
      <w:pPr>
        <w:numPr>
          <w:ilvl w:val="0"/>
          <w:numId w:val="1013"/>
        </w:numPr>
        <w:pStyle w:val="Compact"/>
      </w:pPr>
      <w:r>
        <w:t xml:space="preserve">Resolvers, the N+1 problem, and dataloaders</w:t>
      </w:r>
    </w:p>
    <w:p>
      <w:pPr>
        <w:numPr>
          <w:ilvl w:val="0"/>
          <w:numId w:val="1013"/>
        </w:numPr>
        <w:pStyle w:val="Compact"/>
      </w:pPr>
      <w:r>
        <w:t xml:space="preserve">Pagination with the connection pattern</w:t>
      </w:r>
    </w:p>
    <w:p>
      <w:pPr>
        <w:numPr>
          <w:ilvl w:val="0"/>
          <w:numId w:val="1013"/>
        </w:numPr>
        <w:pStyle w:val="Compact"/>
      </w:pPr>
      <w:r>
        <w:t xml:space="preserve">Security: depth limiting and cost analysis</w:t>
      </w:r>
    </w:p>
    <w:p>
      <w:pPr>
        <w:numPr>
          <w:ilvl w:val="0"/>
          <w:numId w:val="1013"/>
        </w:numPr>
        <w:pStyle w:val="Compact"/>
      </w:pPr>
      <w:r>
        <w:t xml:space="preserve">When GraphQL is the right choice — and when it is not</w:t>
      </w:r>
    </w:p>
    <w:bookmarkEnd w:id="36"/>
    <w:bookmarkStart w:id="37" w:name="grpc-and-protobuf"/>
    <w:p>
      <w:pPr>
        <w:pStyle w:val="Heading5"/>
      </w:pPr>
      <w:r>
        <w:t xml:space="preserve">gRPC and Protobuf</w:t>
      </w:r>
    </w:p>
    <w:p>
      <w:pPr>
        <w:numPr>
          <w:ilvl w:val="0"/>
          <w:numId w:val="1014"/>
        </w:numPr>
        <w:pStyle w:val="Compact"/>
      </w:pPr>
      <w:r>
        <w:t xml:space="preserve">Protobuf messages, services, and field numbering</w:t>
      </w:r>
    </w:p>
    <w:p>
      <w:pPr>
        <w:numPr>
          <w:ilvl w:val="0"/>
          <w:numId w:val="1014"/>
        </w:numPr>
        <w:pStyle w:val="Compact"/>
      </w:pPr>
      <w:r>
        <w:t xml:space="preserve">Unary and streaming RPCs</w:t>
      </w:r>
    </w:p>
    <w:p>
      <w:pPr>
        <w:numPr>
          <w:ilvl w:val="0"/>
          <w:numId w:val="1014"/>
        </w:numPr>
        <w:pStyle w:val="Compact"/>
      </w:pPr>
      <w:r>
        <w:t xml:space="preserve">Schema evolution and compatibility rules</w:t>
      </w:r>
    </w:p>
    <w:p>
      <w:pPr>
        <w:numPr>
          <w:ilvl w:val="0"/>
          <w:numId w:val="1014"/>
        </w:numPr>
        <w:pStyle w:val="Compact"/>
      </w:pPr>
      <w:r>
        <w:t xml:space="preserve">gRPC for service-to-service; gRPC-Web and transcoding at the edge</w:t>
      </w:r>
    </w:p>
    <w:bookmarkEnd w:id="37"/>
    <w:bookmarkStart w:id="38" w:name="governance-and-apis-for-ai"/>
    <w:p>
      <w:pPr>
        <w:pStyle w:val="Heading5"/>
      </w:pPr>
      <w:r>
        <w:t xml:space="preserve">Governance and APIs for AI</w:t>
      </w:r>
    </w:p>
    <w:p>
      <w:pPr>
        <w:numPr>
          <w:ilvl w:val="0"/>
          <w:numId w:val="1015"/>
        </w:numPr>
        <w:pStyle w:val="Compact"/>
      </w:pPr>
      <w:r>
        <w:t xml:space="preserve">API style guides and design review processes</w:t>
      </w:r>
    </w:p>
    <w:p>
      <w:pPr>
        <w:numPr>
          <w:ilvl w:val="0"/>
          <w:numId w:val="1015"/>
        </w:numPr>
        <w:pStyle w:val="Compact"/>
      </w:pPr>
      <w:r>
        <w:t xml:space="preserve">Breaking-change detection in CI</w:t>
      </w:r>
    </w:p>
    <w:p>
      <w:pPr>
        <w:numPr>
          <w:ilvl w:val="0"/>
          <w:numId w:val="1015"/>
        </w:numPr>
        <w:pStyle w:val="Compact"/>
      </w:pPr>
      <w:r>
        <w:t xml:space="preserve">Designing APIs for AI agent consumption: clear naming, rich descriptions, predictable errors</w:t>
      </w:r>
    </w:p>
    <w:p>
      <w:pPr>
        <w:numPr>
          <w:ilvl w:val="0"/>
          <w:numId w:val="1015"/>
        </w:numPr>
        <w:pStyle w:val="Compact"/>
      </w:pPr>
      <w:r>
        <w:t xml:space="preserve">The Model Context Protocol (MCP): exposing APIs as tools</w:t>
      </w:r>
    </w:p>
    <w:p>
      <w:pPr>
        <w:numPr>
          <w:ilvl w:val="0"/>
          <w:numId w:val="1015"/>
        </w:numPr>
        <w:pStyle w:val="Compact"/>
      </w:pPr>
      <w:r>
        <w:t xml:space="preserve">Documentation that both humans and LLMs can use</w:t>
      </w:r>
    </w:p>
    <w:bookmarkEnd w:id="38"/>
    <w:bookmarkEnd w:id="39"/>
    <w:bookmarkEnd w:id="40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 Design: REST, GraphQL, and gRPC</dc:title>
  <dc:creator>Cloud Contraptions LLC</dc:creator>
  <cp:keywords/>
  <dcterms:created xsi:type="dcterms:W3CDTF">2026-06-11T17:53:30Z</dcterms:created>
  <dcterms:modified xsi:type="dcterms:W3CDTF">2026-06-11T17:53:30Z</dcterms:modified>
  <dc:language>en-US</dc:language>
  <cp:category>dev-fundamentals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