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react-apps-with-tanstack-start"/>
    <w:p>
      <w:pPr>
        <w:pStyle w:val="Heading1"/>
      </w:pPr>
      <w:r>
        <w:t xml:space="preserve">React Apps with TanStack Start</w:t>
      </w:r>
    </w:p>
    <w:bookmarkStart w:id="20" w:name="class-duration"/>
    <w:p>
      <w:pPr>
        <w:pStyle w:val="Heading2"/>
      </w:pPr>
      <w:r>
        <w:t xml:space="preserve">Class Duration</w:t>
      </w:r>
    </w:p>
    <w:p>
      <w:pPr>
        <w:pStyle w:val="FirstParagraph"/>
      </w:pPr>
      <w:r>
        <w:t xml:space="preserve">21 hours of live training delivered over 3 days</w:t>
      </w:r>
    </w:p>
    <w:bookmarkEnd w:id="20"/>
    <w:bookmarkStart w:id="21" w:name="student-prerequisites"/>
    <w:p>
      <w:pPr>
        <w:pStyle w:val="Heading2"/>
      </w:pPr>
      <w:r>
        <w:t xml:space="preserve">Student Prerequisites</w:t>
      </w:r>
    </w:p>
    <w:p>
      <w:pPr>
        <w:numPr>
          <w:ilvl w:val="0"/>
          <w:numId w:val="1001"/>
        </w:numPr>
        <w:pStyle w:val="Compact"/>
      </w:pPr>
      <w:r>
        <w:t xml:space="preserve">Solid working experience building React applications with function components and hooks</w:t>
      </w:r>
    </w:p>
    <w:p>
      <w:pPr>
        <w:numPr>
          <w:ilvl w:val="0"/>
          <w:numId w:val="1001"/>
        </w:numPr>
        <w:pStyle w:val="Compact"/>
      </w:pPr>
      <w:r>
        <w:t xml:space="preserve">Experience with TypeScript and modern JavaScript (modules, async/await, destructuring)</w:t>
      </w:r>
    </w:p>
    <w:p>
      <w:pPr>
        <w:numPr>
          <w:ilvl w:val="0"/>
          <w:numId w:val="1001"/>
        </w:numPr>
        <w:pStyle w:val="Compact"/>
      </w:pPr>
      <w:r>
        <w:t xml:space="preserve">Prior experience with another React framework (Next.js, Remix) helpful but not required</w:t>
      </w:r>
    </w:p>
    <w:bookmarkEnd w:id="21"/>
    <w:bookmarkStart w:id="22" w:name="target-audience"/>
    <w:p>
      <w:pPr>
        <w:pStyle w:val="Heading2"/>
      </w:pPr>
      <w:r>
        <w:t xml:space="preserve">Target Audience</w:t>
      </w:r>
    </w:p>
    <w:p>
      <w:pPr>
        <w:pStyle w:val="FirstParagraph"/>
      </w:pPr>
      <w:r>
        <w:t xml:space="preserve">React developers and teams evaluating or adopting TanStack Start as their full-stack framework. Ideal for teams that want end-to-end TypeScript type safety, a client-first architecture, and freedom to deploy anywhere — and for teams comparing TanStack Start against Next.js before committing. Participants should be comfortable building React applications; this course teaches the framework, not React fundamentals.</w:t>
      </w:r>
    </w:p>
    <w:bookmarkEnd w:id="22"/>
    <w:bookmarkStart w:id="23" w:name="description"/>
    <w:p>
      <w:pPr>
        <w:pStyle w:val="Heading2"/>
      </w:pPr>
      <w:r>
        <w:t xml:space="preserve">Description</w:t>
      </w:r>
    </w:p>
    <w:p>
      <w:pPr>
        <w:pStyle w:val="FirstParagraph"/>
      </w:pPr>
      <w:r>
        <w:t xml:space="preserve">This course teaches</w:t>
      </w:r>
      <w:r>
        <w:t xml:space="preserve"> </w:t>
      </w:r>
      <w:r>
        <w:rPr>
          <w:bCs/>
          <w:b/>
        </w:rPr>
        <w:t xml:space="preserve">TanStack Start</w:t>
      </w:r>
      <w:r>
        <w:t xml:space="preserve">, the full-stack React framework built on TanStack Router. Start has reached the release-candidate stage — feature-complete with a stable API, with the 1.0 release expected imminently — and is positioned as the type-safe, client-first alternative to Next.js: instead of organizing your application around React Server Components, Start gives you a fully type-safe router, type-safe</w:t>
      </w:r>
      <w:r>
        <w:t xml:space="preserve"> </w:t>
      </w:r>
      <w:r>
        <w:rPr>
          <w:bCs/>
          <w:b/>
        </w:rPr>
        <w:t xml:space="preserve">server functions</w:t>
      </w:r>
      <w:r>
        <w:t xml:space="preserve"> </w:t>
      </w:r>
      <w:r>
        <w:t xml:space="preserve">(RPCs between client and server), full-document</w:t>
      </w:r>
      <w:r>
        <w:t xml:space="preserve"> </w:t>
      </w:r>
      <w:r>
        <w:rPr>
          <w:bCs/>
          <w:b/>
        </w:rPr>
        <w:t xml:space="preserve">SSR with streaming</w:t>
      </w:r>
      <w:r>
        <w:t xml:space="preserve">, and standard Vite or Rsbuild builds that deploy to any modern host. Participants master TanStack Router’s file-based routing — typed path params, typed search params, nested layouts, loaders, and prefetching — then add the server pieces: server functions with middleware, server routes for API endpoints, selective SSR, SPA mode, static prerendering, and incremental static regeneration. Data loading is taught the way production Start apps are built: route loaders integrated with</w:t>
      </w:r>
      <w:r>
        <w:t xml:space="preserve"> </w:t>
      </w:r>
      <w:r>
        <w:rPr>
          <w:bCs/>
          <w:b/>
        </w:rPr>
        <w:t xml:space="preserve">TanStack Query</w:t>
      </w:r>
      <w:r>
        <w:t xml:space="preserve"> </w:t>
      </w:r>
      <w:r>
        <w:t xml:space="preserve">for caching, mutations, and optimistic updates. The course finishes with forms backed by server functions, error and not-found boundaries, authentication patterns, and deployment. Because the framework is young, the course is explicit about maturity: what is stable, what is experimental (React Server Components support), and how to track the project as it evolves.</w:t>
      </w:r>
    </w:p>
    <w:bookmarkEnd w:id="23"/>
    <w:bookmarkStart w:id="24" w:name="learning-outcomes"/>
    <w:p>
      <w:pPr>
        <w:pStyle w:val="Heading2"/>
      </w:pPr>
      <w:r>
        <w:t xml:space="preserve">Learning Outcomes</w:t>
      </w:r>
    </w:p>
    <w:p>
      <w:pPr>
        <w:numPr>
          <w:ilvl w:val="0"/>
          <w:numId w:val="1002"/>
        </w:numPr>
        <w:pStyle w:val="Compact"/>
      </w:pPr>
      <w:r>
        <w:t xml:space="preserve">Explain where TanStack Start fits in 2026: its release-candidate maturity, its client-first architecture, and how it compares to Next.js.</w:t>
      </w:r>
    </w:p>
    <w:p>
      <w:pPr>
        <w:numPr>
          <w:ilvl w:val="0"/>
          <w:numId w:val="1002"/>
        </w:numPr>
        <w:pStyle w:val="Compact"/>
      </w:pPr>
      <w:r>
        <w:t xml:space="preserve">Scaffold and structure a TanStack Start project with Vite, file-based routing, and TypeScript end-to-end.</w:t>
      </w:r>
    </w:p>
    <w:p>
      <w:pPr>
        <w:numPr>
          <w:ilvl w:val="0"/>
          <w:numId w:val="1002"/>
        </w:numPr>
        <w:pStyle w:val="Compact"/>
      </w:pPr>
      <w:r>
        <w:t xml:space="preserve">Master TanStack Router: typed path params, validated search params, nested layouts, navigation, and prefetching.</w:t>
      </w:r>
    </w:p>
    <w:p>
      <w:pPr>
        <w:numPr>
          <w:ilvl w:val="0"/>
          <w:numId w:val="1002"/>
        </w:numPr>
        <w:pStyle w:val="Compact"/>
      </w:pPr>
      <w:r>
        <w:t xml:space="preserve">Load data with route loaders and integrate TanStack Query for caching, mutations, and optimistic updates.</w:t>
      </w:r>
    </w:p>
    <w:p>
      <w:pPr>
        <w:numPr>
          <w:ilvl w:val="0"/>
          <w:numId w:val="1002"/>
        </w:numPr>
        <w:pStyle w:val="Compact"/>
      </w:pPr>
      <w:r>
        <w:t xml:space="preserve">Write type-safe server functions for queries and mutations, and compose them with middleware for auth, logging, and context.</w:t>
      </w:r>
    </w:p>
    <w:p>
      <w:pPr>
        <w:numPr>
          <w:ilvl w:val="0"/>
          <w:numId w:val="1002"/>
        </w:numPr>
        <w:pStyle w:val="Compact"/>
      </w:pPr>
      <w:r>
        <w:t xml:space="preserve">Build API endpoints with server routes alongside the application.</w:t>
      </w:r>
    </w:p>
    <w:p>
      <w:pPr>
        <w:numPr>
          <w:ilvl w:val="0"/>
          <w:numId w:val="1002"/>
        </w:numPr>
        <w:pStyle w:val="Compact"/>
      </w:pPr>
      <w:r>
        <w:t xml:space="preserve">Control rendering per route: full-document SSR, streaming, selective SSR, SPA mode, static prerendering, and ISR.</w:t>
      </w:r>
    </w:p>
    <w:p>
      <w:pPr>
        <w:numPr>
          <w:ilvl w:val="0"/>
          <w:numId w:val="1002"/>
        </w:numPr>
        <w:pStyle w:val="Compact"/>
      </w:pPr>
      <w:r>
        <w:t xml:space="preserve">Build forms on top of server functions with validation and progressive-enhancement-friendly patterns.</w:t>
      </w:r>
    </w:p>
    <w:p>
      <w:pPr>
        <w:numPr>
          <w:ilvl w:val="0"/>
          <w:numId w:val="1002"/>
        </w:numPr>
        <w:pStyle w:val="Compact"/>
      </w:pPr>
      <w:r>
        <w:t xml:space="preserve">Handle errors with route-level error and not-found boundaries.</w:t>
      </w:r>
    </w:p>
    <w:p>
      <w:pPr>
        <w:numPr>
          <w:ilvl w:val="0"/>
          <w:numId w:val="1002"/>
        </w:numPr>
        <w:pStyle w:val="Compact"/>
      </w:pPr>
      <w:r>
        <w:t xml:space="preserve">Deploy Start applications to Cloudflare, Netlify, Vercel, or self-hosted Node, and test with Vitest and Playwright.</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Node.js and Visual Studio Code on their computers. Also, students will need permission to install NPM Packages and Visual Studio Code Extensions. If students are unable to configure a local environment, a cloud-based environment can be provided.</w:t>
      </w:r>
    </w:p>
    <w:bookmarkEnd w:id="26"/>
    <w:bookmarkStart w:id="38" w:name="training-topics"/>
    <w:p>
      <w:pPr>
        <w:pStyle w:val="Heading2"/>
      </w:pPr>
      <w:r>
        <w:t xml:space="preserve">Training Topics</w:t>
      </w:r>
    </w:p>
    <w:bookmarkStart w:id="27" w:name="introduction"/>
    <w:p>
      <w:pPr>
        <w:pStyle w:val="Heading5"/>
      </w:pPr>
      <w:r>
        <w:t xml:space="preserve">Introduction</w:t>
      </w:r>
    </w:p>
    <w:p>
      <w:pPr>
        <w:numPr>
          <w:ilvl w:val="0"/>
          <w:numId w:val="1003"/>
        </w:numPr>
        <w:pStyle w:val="Compact"/>
      </w:pPr>
      <w:r>
        <w:t xml:space="preserve">What is TanStack Start, and what problem does it solve?</w:t>
      </w:r>
    </w:p>
    <w:p>
      <w:pPr>
        <w:numPr>
          <w:ilvl w:val="0"/>
          <w:numId w:val="1003"/>
        </w:numPr>
        <w:pStyle w:val="Compact"/>
      </w:pPr>
      <w:r>
        <w:t xml:space="preserve">Client-first architecture vs. the React Server Components model</w:t>
      </w:r>
    </w:p>
    <w:p>
      <w:pPr>
        <w:numPr>
          <w:ilvl w:val="0"/>
          <w:numId w:val="1003"/>
        </w:numPr>
        <w:pStyle w:val="Compact"/>
      </w:pPr>
      <w:r>
        <w:t xml:space="preserve">Start vs. Next.js: type safety, deployment freedom, mental model</w:t>
      </w:r>
    </w:p>
    <w:p>
      <w:pPr>
        <w:numPr>
          <w:ilvl w:val="0"/>
          <w:numId w:val="1003"/>
        </w:numPr>
        <w:pStyle w:val="Compact"/>
      </w:pPr>
      <w:r>
        <w:t xml:space="preserve">Maturity in 2026: release candidate, stable API, the road to 1.0</w:t>
      </w:r>
    </w:p>
    <w:p>
      <w:pPr>
        <w:numPr>
          <w:ilvl w:val="0"/>
          <w:numId w:val="1003"/>
        </w:numPr>
        <w:pStyle w:val="Compact"/>
      </w:pPr>
      <w:r>
        <w:t xml:space="preserve">What is experimental (React Server Components support) and what is not</w:t>
      </w:r>
    </w:p>
    <w:bookmarkEnd w:id="27"/>
    <w:bookmarkStart w:id="28" w:name="project-setup"/>
    <w:p>
      <w:pPr>
        <w:pStyle w:val="Heading5"/>
      </w:pPr>
      <w:r>
        <w:t xml:space="preserve">Project Setup</w:t>
      </w:r>
    </w:p>
    <w:p>
      <w:pPr>
        <w:numPr>
          <w:ilvl w:val="0"/>
          <w:numId w:val="1004"/>
        </w:numPr>
        <w:pStyle w:val="Compact"/>
      </w:pPr>
      <w:r>
        <w:t xml:space="preserve">Scaffolding a Start project</w:t>
      </w:r>
    </w:p>
    <w:p>
      <w:pPr>
        <w:numPr>
          <w:ilvl w:val="0"/>
          <w:numId w:val="1004"/>
        </w:numPr>
        <w:pStyle w:val="Compact"/>
      </w:pPr>
      <w:r>
        <w:t xml:space="preserve">Vite (and Rsbuild) as the build foundation</w:t>
      </w:r>
    </w:p>
    <w:p>
      <w:pPr>
        <w:numPr>
          <w:ilvl w:val="0"/>
          <w:numId w:val="1004"/>
        </w:numPr>
        <w:pStyle w:val="Compact"/>
      </w:pPr>
      <w:r>
        <w:t xml:space="preserve">Project structure: routes, server, client entry points</w:t>
      </w:r>
    </w:p>
    <w:p>
      <w:pPr>
        <w:numPr>
          <w:ilvl w:val="0"/>
          <w:numId w:val="1004"/>
        </w:numPr>
        <w:pStyle w:val="Compact"/>
      </w:pPr>
      <w:r>
        <w:t xml:space="preserve">TypeScript configuration and the generated route tree</w:t>
      </w:r>
    </w:p>
    <w:p>
      <w:pPr>
        <w:numPr>
          <w:ilvl w:val="0"/>
          <w:numId w:val="1004"/>
        </w:numPr>
        <w:pStyle w:val="Compact"/>
      </w:pPr>
      <w:r>
        <w:t xml:space="preserve">Environment variables and client/server import protection</w:t>
      </w:r>
    </w:p>
    <w:bookmarkEnd w:id="28"/>
    <w:bookmarkStart w:id="29" w:name="tanstack-router-routing"/>
    <w:p>
      <w:pPr>
        <w:pStyle w:val="Heading5"/>
      </w:pPr>
      <w:r>
        <w:t xml:space="preserve">TanStack Router: Routing</w:t>
      </w:r>
    </w:p>
    <w:p>
      <w:pPr>
        <w:numPr>
          <w:ilvl w:val="0"/>
          <w:numId w:val="1005"/>
        </w:numPr>
        <w:pStyle w:val="Compact"/>
      </w:pPr>
      <w:r>
        <w:t xml:space="preserve">File-based routing conventions</w:t>
      </w:r>
    </w:p>
    <w:p>
      <w:pPr>
        <w:numPr>
          <w:ilvl w:val="0"/>
          <w:numId w:val="1005"/>
        </w:numPr>
        <w:pStyle w:val="Compact"/>
      </w:pPr>
      <w:r>
        <w:t xml:space="preserve">Typed path parameters</w:t>
      </w:r>
    </w:p>
    <w:p>
      <w:pPr>
        <w:numPr>
          <w:ilvl w:val="0"/>
          <w:numId w:val="1005"/>
        </w:numPr>
        <w:pStyle w:val="Compact"/>
      </w:pPr>
      <w:r>
        <w:t xml:space="preserve">Search params as first-class, validated, typed state</w:t>
      </w:r>
    </w:p>
    <w:p>
      <w:pPr>
        <w:numPr>
          <w:ilvl w:val="0"/>
          <w:numId w:val="1005"/>
        </w:numPr>
        <w:pStyle w:val="Compact"/>
      </w:pPr>
      <w:r>
        <w:t xml:space="preserve">Nested routes and layouts</w:t>
      </w:r>
    </w:p>
    <w:p>
      <w:pPr>
        <w:numPr>
          <w:ilvl w:val="0"/>
          <w:numId w:val="1005"/>
        </w:numPr>
        <w:pStyle w:val="Compact"/>
      </w:pPr>
      <w:r>
        <w:t xml:space="preserve">Route context</w:t>
      </w:r>
    </w:p>
    <w:p>
      <w:pPr>
        <w:numPr>
          <w:ilvl w:val="0"/>
          <w:numId w:val="1005"/>
        </w:numPr>
        <w:pStyle w:val="Compact"/>
      </w:pPr>
      <w:r>
        <w:t xml:space="preserve">Navigation with</w:t>
      </w:r>
      <w:r>
        <w:t xml:space="preserve"> </w:t>
      </w:r>
      <w:r>
        <w:rPr>
          <w:rStyle w:val="VerbatimChar"/>
        </w:rPr>
        <w:t xml:space="preserve">Link</w:t>
      </w:r>
      <w:r>
        <w:t xml:space="preserve"> </w:t>
      </w:r>
      <w:r>
        <w:t xml:space="preserve">and</w:t>
      </w:r>
      <w:r>
        <w:t xml:space="preserve"> </w:t>
      </w:r>
      <w:r>
        <w:rPr>
          <w:rStyle w:val="VerbatimChar"/>
        </w:rPr>
        <w:t xml:space="preserve">useNavigate</w:t>
      </w:r>
    </w:p>
    <w:p>
      <w:pPr>
        <w:numPr>
          <w:ilvl w:val="0"/>
          <w:numId w:val="1005"/>
        </w:numPr>
        <w:pStyle w:val="Compact"/>
      </w:pPr>
      <w:r>
        <w:t xml:space="preserve">Preloading and prefetching strategies</w:t>
      </w:r>
    </w:p>
    <w:bookmarkEnd w:id="29"/>
    <w:bookmarkStart w:id="30" w:name="data-loading"/>
    <w:p>
      <w:pPr>
        <w:pStyle w:val="Heading5"/>
      </w:pPr>
      <w:r>
        <w:t xml:space="preserve">Data Loading</w:t>
      </w:r>
    </w:p>
    <w:p>
      <w:pPr>
        <w:numPr>
          <w:ilvl w:val="0"/>
          <w:numId w:val="1006"/>
        </w:numPr>
        <w:pStyle w:val="Compact"/>
      </w:pPr>
      <w:r>
        <w:t xml:space="preserve">Route loaders: load before render, no waterfalls</w:t>
      </w:r>
    </w:p>
    <w:p>
      <w:pPr>
        <w:numPr>
          <w:ilvl w:val="0"/>
          <w:numId w:val="1006"/>
        </w:numPr>
        <w:pStyle w:val="Compact"/>
      </w:pPr>
      <w:r>
        <w:t xml:space="preserve">Loader caching, staleness, and invalidation</w:t>
      </w:r>
    </w:p>
    <w:p>
      <w:pPr>
        <w:numPr>
          <w:ilvl w:val="0"/>
          <w:numId w:val="1006"/>
        </w:numPr>
        <w:pStyle w:val="Compact"/>
      </w:pPr>
      <w:r>
        <w:t xml:space="preserve">Deferred data and streaming from loaders</w:t>
      </w:r>
    </w:p>
    <w:p>
      <w:pPr>
        <w:numPr>
          <w:ilvl w:val="0"/>
          <w:numId w:val="1006"/>
        </w:numPr>
        <w:pStyle w:val="Compact"/>
      </w:pPr>
      <w:r>
        <w:t xml:space="preserve">Integrating TanStack Query:</w:t>
      </w:r>
      <w:r>
        <w:t xml:space="preserve"> </w:t>
      </w:r>
      <w:r>
        <w:rPr>
          <w:rStyle w:val="VerbatimChar"/>
        </w:rPr>
        <w:t xml:space="preserve">queryOptions</w:t>
      </w:r>
      <w:r>
        <w:t xml:space="preserve">,</w:t>
      </w:r>
      <w:r>
        <w:t xml:space="preserve"> </w:t>
      </w:r>
      <w:r>
        <w:rPr>
          <w:rStyle w:val="VerbatimChar"/>
        </w:rPr>
        <w:t xml:space="preserve">ensureQueryData</w:t>
      </w:r>
      <w:r>
        <w:t xml:space="preserve"> </w:t>
      </w:r>
      <w:r>
        <w:t xml:space="preserve">in loaders</w:t>
      </w:r>
    </w:p>
    <w:p>
      <w:pPr>
        <w:numPr>
          <w:ilvl w:val="0"/>
          <w:numId w:val="1006"/>
        </w:numPr>
        <w:pStyle w:val="Compact"/>
      </w:pPr>
      <w:r>
        <w:t xml:space="preserve">Mutations and optimistic updates with TanStack Query</w:t>
      </w:r>
    </w:p>
    <w:p>
      <w:pPr>
        <w:numPr>
          <w:ilvl w:val="0"/>
          <w:numId w:val="1006"/>
        </w:numPr>
        <w:pStyle w:val="Compact"/>
      </w:pPr>
      <w:r>
        <w:t xml:space="preserve">When to use loaders alone vs. loaders + Query</w:t>
      </w:r>
    </w:p>
    <w:bookmarkEnd w:id="30"/>
    <w:bookmarkStart w:id="31" w:name="server-functions"/>
    <w:p>
      <w:pPr>
        <w:pStyle w:val="Heading5"/>
      </w:pPr>
      <w:r>
        <w:t xml:space="preserve">Server Functions</w:t>
      </w:r>
    </w:p>
    <w:p>
      <w:pPr>
        <w:numPr>
          <w:ilvl w:val="0"/>
          <w:numId w:val="1007"/>
        </w:numPr>
        <w:pStyle w:val="Compact"/>
      </w:pPr>
      <w:r>
        <w:t xml:space="preserve">Type-safe RPCs with</w:t>
      </w:r>
      <w:r>
        <w:t xml:space="preserve"> </w:t>
      </w:r>
      <w:r>
        <w:rPr>
          <w:rStyle w:val="VerbatimChar"/>
        </w:rPr>
        <w:t xml:space="preserve">createServerFn</w:t>
      </w:r>
    </w:p>
    <w:p>
      <w:pPr>
        <w:numPr>
          <w:ilvl w:val="0"/>
          <w:numId w:val="1007"/>
        </w:numPr>
        <w:pStyle w:val="Compact"/>
      </w:pPr>
      <w:r>
        <w:t xml:space="preserve">GET vs. POST server functions: data fetching and mutations in one API</w:t>
      </w:r>
    </w:p>
    <w:p>
      <w:pPr>
        <w:numPr>
          <w:ilvl w:val="0"/>
          <w:numId w:val="1007"/>
        </w:numPr>
        <w:pStyle w:val="Compact"/>
      </w:pPr>
      <w:r>
        <w:t xml:space="preserve">Input validation (Zod) with inferred types end-to-end</w:t>
      </w:r>
    </w:p>
    <w:p>
      <w:pPr>
        <w:numPr>
          <w:ilvl w:val="0"/>
          <w:numId w:val="1007"/>
        </w:numPr>
        <w:pStyle w:val="Compact"/>
      </w:pPr>
      <w:r>
        <w:t xml:space="preserve">Calling server functions from loaders, components, and hooks</w:t>
      </w:r>
    </w:p>
    <w:p>
      <w:pPr>
        <w:numPr>
          <w:ilvl w:val="0"/>
          <w:numId w:val="1007"/>
        </w:numPr>
        <w:pStyle w:val="Compact"/>
      </w:pPr>
      <w:r>
        <w:t xml:space="preserve">Static (build-time) server functions</w:t>
      </w:r>
    </w:p>
    <w:bookmarkEnd w:id="31"/>
    <w:bookmarkStart w:id="32" w:name="middleware-and-server-routes"/>
    <w:p>
      <w:pPr>
        <w:pStyle w:val="Heading5"/>
      </w:pPr>
      <w:r>
        <w:t xml:space="preserve">Middleware and Server Routes</w:t>
      </w:r>
    </w:p>
    <w:p>
      <w:pPr>
        <w:numPr>
          <w:ilvl w:val="0"/>
          <w:numId w:val="1008"/>
        </w:numPr>
        <w:pStyle w:val="Compact"/>
      </w:pPr>
      <w:r>
        <w:t xml:space="preserve">Middleware for server functions: auth, logging, request context</w:t>
      </w:r>
    </w:p>
    <w:p>
      <w:pPr>
        <w:numPr>
          <w:ilvl w:val="0"/>
          <w:numId w:val="1008"/>
        </w:numPr>
        <w:pStyle w:val="Compact"/>
      </w:pPr>
      <w:r>
        <w:t xml:space="preserve">Composing and chaining middleware</w:t>
      </w:r>
    </w:p>
    <w:p>
      <w:pPr>
        <w:numPr>
          <w:ilvl w:val="0"/>
          <w:numId w:val="1008"/>
        </w:numPr>
        <w:pStyle w:val="Compact"/>
      </w:pPr>
      <w:r>
        <w:t xml:space="preserve">Server routes: building API endpoints alongside the app</w:t>
      </w:r>
    </w:p>
    <w:p>
      <w:pPr>
        <w:numPr>
          <w:ilvl w:val="0"/>
          <w:numId w:val="1008"/>
        </w:numPr>
        <w:pStyle w:val="Compact"/>
      </w:pPr>
      <w:r>
        <w:t xml:space="preserve">Cookies, headers, sessions, and authentication patterns</w:t>
      </w:r>
    </w:p>
    <w:bookmarkEnd w:id="32"/>
    <w:bookmarkStart w:id="33" w:name="rendering-strategies"/>
    <w:p>
      <w:pPr>
        <w:pStyle w:val="Heading5"/>
      </w:pPr>
      <w:r>
        <w:t xml:space="preserve">Rendering Strategies</w:t>
      </w:r>
    </w:p>
    <w:p>
      <w:pPr>
        <w:numPr>
          <w:ilvl w:val="0"/>
          <w:numId w:val="1009"/>
        </w:numPr>
        <w:pStyle w:val="Compact"/>
      </w:pPr>
      <w:r>
        <w:t xml:space="preserve">Full-document SSR and hydration</w:t>
      </w:r>
    </w:p>
    <w:p>
      <w:pPr>
        <w:numPr>
          <w:ilvl w:val="0"/>
          <w:numId w:val="1009"/>
        </w:numPr>
        <w:pStyle w:val="Compact"/>
      </w:pPr>
      <w:r>
        <w:t xml:space="preserve">Streaming responses</w:t>
      </w:r>
    </w:p>
    <w:p>
      <w:pPr>
        <w:numPr>
          <w:ilvl w:val="0"/>
          <w:numId w:val="1009"/>
        </w:numPr>
        <w:pStyle w:val="Compact"/>
      </w:pPr>
      <w:r>
        <w:t xml:space="preserve">Selective SSR: opting routes out</w:t>
      </w:r>
    </w:p>
    <w:p>
      <w:pPr>
        <w:numPr>
          <w:ilvl w:val="0"/>
          <w:numId w:val="1009"/>
        </w:numPr>
        <w:pStyle w:val="Compact"/>
      </w:pPr>
      <w:r>
        <w:t xml:space="preserve">SPA mode for fully client-rendered apps</w:t>
      </w:r>
    </w:p>
    <w:p>
      <w:pPr>
        <w:numPr>
          <w:ilvl w:val="0"/>
          <w:numId w:val="1009"/>
        </w:numPr>
        <w:pStyle w:val="Compact"/>
      </w:pPr>
      <w:r>
        <w:t xml:space="preserve">Static prerendering</w:t>
      </w:r>
    </w:p>
    <w:p>
      <w:pPr>
        <w:numPr>
          <w:ilvl w:val="0"/>
          <w:numId w:val="1009"/>
        </w:numPr>
        <w:pStyle w:val="Compact"/>
      </w:pPr>
      <w:r>
        <w:t xml:space="preserve">Incremental static regeneration (ISR)</w:t>
      </w:r>
    </w:p>
    <w:bookmarkEnd w:id="33"/>
    <w:bookmarkStart w:id="34" w:name="forms"/>
    <w:p>
      <w:pPr>
        <w:pStyle w:val="Heading5"/>
      </w:pPr>
      <w:r>
        <w:t xml:space="preserve">Forms</w:t>
      </w:r>
    </w:p>
    <w:p>
      <w:pPr>
        <w:numPr>
          <w:ilvl w:val="0"/>
          <w:numId w:val="1010"/>
        </w:numPr>
        <w:pStyle w:val="Compact"/>
      </w:pPr>
      <w:r>
        <w:t xml:space="preserve">Forms backed by server functions</w:t>
      </w:r>
    </w:p>
    <w:p>
      <w:pPr>
        <w:numPr>
          <w:ilvl w:val="0"/>
          <w:numId w:val="1010"/>
        </w:numPr>
        <w:pStyle w:val="Compact"/>
      </w:pPr>
      <w:r>
        <w:t xml:space="preserve">Validation on client and server with shared schemas</w:t>
      </w:r>
    </w:p>
    <w:p>
      <w:pPr>
        <w:numPr>
          <w:ilvl w:val="0"/>
          <w:numId w:val="1010"/>
        </w:numPr>
        <w:pStyle w:val="Compact"/>
      </w:pPr>
      <w:r>
        <w:t xml:space="preserve">Pending, error, and optimistic UI states</w:t>
      </w:r>
    </w:p>
    <w:p>
      <w:pPr>
        <w:numPr>
          <w:ilvl w:val="0"/>
          <w:numId w:val="1010"/>
        </w:numPr>
        <w:pStyle w:val="Compact"/>
      </w:pPr>
      <w:r>
        <w:t xml:space="preserve">TanStack Form overview: typed, framework-agnostic form state</w:t>
      </w:r>
    </w:p>
    <w:bookmarkEnd w:id="34"/>
    <w:bookmarkStart w:id="35" w:name="errors-and-boundaries"/>
    <w:p>
      <w:pPr>
        <w:pStyle w:val="Heading5"/>
      </w:pPr>
      <w:r>
        <w:t xml:space="preserve">Errors and Boundaries</w:t>
      </w:r>
    </w:p>
    <w:p>
      <w:pPr>
        <w:numPr>
          <w:ilvl w:val="0"/>
          <w:numId w:val="1011"/>
        </w:numPr>
        <w:pStyle w:val="Compact"/>
      </w:pPr>
      <w:r>
        <w:t xml:space="preserve">Route-level error boundaries</w:t>
      </w:r>
    </w:p>
    <w:p>
      <w:pPr>
        <w:numPr>
          <w:ilvl w:val="0"/>
          <w:numId w:val="1011"/>
        </w:numPr>
        <w:pStyle w:val="Compact"/>
      </w:pPr>
      <w:r>
        <w:t xml:space="preserve">Not-found handling</w:t>
      </w:r>
    </w:p>
    <w:p>
      <w:pPr>
        <w:numPr>
          <w:ilvl w:val="0"/>
          <w:numId w:val="1011"/>
        </w:numPr>
        <w:pStyle w:val="Compact"/>
      </w:pPr>
      <w:r>
        <w:t xml:space="preserve">Hydration errors: diagnosing and fixing</w:t>
      </w:r>
    </w:p>
    <w:bookmarkEnd w:id="35"/>
    <w:bookmarkStart w:id="36" w:name="testing"/>
    <w:p>
      <w:pPr>
        <w:pStyle w:val="Heading5"/>
      </w:pPr>
      <w:r>
        <w:t xml:space="preserve">Testing</w:t>
      </w:r>
    </w:p>
    <w:p>
      <w:pPr>
        <w:numPr>
          <w:ilvl w:val="0"/>
          <w:numId w:val="1012"/>
        </w:numPr>
        <w:pStyle w:val="Compact"/>
      </w:pPr>
      <w:r>
        <w:t xml:space="preserve">Unit and component testing with Vitest + Testing Library</w:t>
      </w:r>
    </w:p>
    <w:p>
      <w:pPr>
        <w:numPr>
          <w:ilvl w:val="0"/>
          <w:numId w:val="1012"/>
        </w:numPr>
        <w:pStyle w:val="Compact"/>
      </w:pPr>
      <w:r>
        <w:t xml:space="preserve">Testing server functions</w:t>
      </w:r>
    </w:p>
    <w:p>
      <w:pPr>
        <w:numPr>
          <w:ilvl w:val="0"/>
          <w:numId w:val="1012"/>
        </w:numPr>
        <w:pStyle w:val="Compact"/>
      </w:pPr>
      <w:r>
        <w:t xml:space="preserve">End-to-end testing with Playwright</w:t>
      </w:r>
    </w:p>
    <w:bookmarkEnd w:id="36"/>
    <w:bookmarkStart w:id="37" w:name="deployment"/>
    <w:p>
      <w:pPr>
        <w:pStyle w:val="Heading5"/>
      </w:pPr>
      <w:r>
        <w:t xml:space="preserve">Deployment</w:t>
      </w:r>
    </w:p>
    <w:p>
      <w:pPr>
        <w:numPr>
          <w:ilvl w:val="0"/>
          <w:numId w:val="1013"/>
        </w:numPr>
        <w:pStyle w:val="Compact"/>
      </w:pPr>
      <w:r>
        <w:t xml:space="preserve">Build outputs for Node, Cloudflare, Netlify, and Vercel</w:t>
      </w:r>
    </w:p>
    <w:p>
      <w:pPr>
        <w:numPr>
          <w:ilvl w:val="0"/>
          <w:numId w:val="1013"/>
        </w:numPr>
        <w:pStyle w:val="Compact"/>
      </w:pPr>
      <w:r>
        <w:t xml:space="preserve">Hosting configuration and runtime targets</w:t>
      </w:r>
    </w:p>
    <w:p>
      <w:pPr>
        <w:numPr>
          <w:ilvl w:val="0"/>
          <w:numId w:val="1013"/>
        </w:numPr>
        <w:pStyle w:val="Compact"/>
      </w:pPr>
      <w:r>
        <w:t xml:space="preserve">CDN asset URLs and caching</w:t>
      </w:r>
    </w:p>
    <w:bookmarkEnd w:id="37"/>
    <w:bookmarkEnd w:id="38"/>
    <w:bookmarkEnd w:id="3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 Apps with TanStack Start</dc:title>
  <dc:creator>Cloud Contraptions LLC</dc:creator>
  <cp:keywords/>
  <dcterms:created xsi:type="dcterms:W3CDTF">2026-06-11T17:52:13Z</dcterms:created>
  <dcterms:modified xsi:type="dcterms:W3CDTF">2026-06-11T17:52:13Z</dcterms:modified>
  <dc:language>en-US</dc:language>
  <cp:category>react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